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01" w:rsidRDefault="00F97F01" w:rsidP="00D31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</w:pPr>
      <w:r w:rsidRPr="00F97F01">
        <w:rPr>
          <w:rFonts w:ascii="Times New Roman" w:hAnsi="Times New Roman" w:cs="Times New Roman"/>
          <w:b/>
          <w:bCs/>
          <w:i/>
          <w:sz w:val="48"/>
          <w:szCs w:val="48"/>
          <w:u w:val="single"/>
        </w:rPr>
        <w:t>Ict for lifelong learning and teacher professional development</w:t>
      </w:r>
    </w:p>
    <w:p w:rsidR="00F97F01" w:rsidRPr="00860798" w:rsidRDefault="00F97F01" w:rsidP="00F97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860798">
        <w:rPr>
          <w:rFonts w:ascii="Times New Roman" w:hAnsi="Times New Roman" w:cs="Times New Roman"/>
          <w:b/>
          <w:bCs/>
          <w:i/>
          <w:sz w:val="40"/>
          <w:szCs w:val="40"/>
        </w:rPr>
        <w:t>Why lifelong learning</w:t>
      </w:r>
    </w:p>
    <w:p w:rsidR="00F97F01" w:rsidRPr="00860798" w:rsidRDefault="00F97F01" w:rsidP="00F97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86079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Planning an information resources (TL resources on WWW, Wikipedia, National Curriculum etc</w:t>
      </w:r>
    </w:p>
    <w:p w:rsidR="00F97F01" w:rsidRDefault="00F97F01" w:rsidP="00F97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86079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Learning content and method </w:t>
      </w:r>
    </w:p>
    <w:p w:rsidR="00860798" w:rsidRPr="00860798" w:rsidRDefault="00860798" w:rsidP="008607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D31BA6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yriadNC-SemiBold" w:hAnsi="MyriadNC-SemiBold" w:cs="MyriadNC-SemiBold"/>
          <w:b/>
          <w:bCs/>
          <w:sz w:val="28"/>
          <w:szCs w:val="28"/>
        </w:rPr>
      </w:pPr>
      <w:r>
        <w:rPr>
          <w:rFonts w:ascii="MyriadNC-SemiBold" w:hAnsi="MyriadNC-SemiBold" w:cs="MyriadNC-SemiBold"/>
          <w:b/>
          <w:bCs/>
          <w:sz w:val="28"/>
          <w:szCs w:val="28"/>
        </w:rPr>
        <w:t>The national framework and the purposes</w:t>
      </w:r>
      <w:r w:rsidR="00F97F01">
        <w:rPr>
          <w:rFonts w:ascii="MyriadNC-SemiBold" w:hAnsi="MyriadNC-SemiBold" w:cs="MyriadNC-SemiBold"/>
          <w:b/>
          <w:bCs/>
          <w:sz w:val="28"/>
          <w:szCs w:val="28"/>
        </w:rPr>
        <w:t xml:space="preserve"> </w:t>
      </w:r>
      <w:r>
        <w:rPr>
          <w:rFonts w:ascii="MyriadNC-SemiBold" w:hAnsi="MyriadNC-SemiBold" w:cs="MyriadNC-SemiBold"/>
          <w:b/>
          <w:bCs/>
          <w:sz w:val="28"/>
          <w:szCs w:val="28"/>
        </w:rPr>
        <w:t>of the National Curriculum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The two broad aims for the school curriculum are reflected in section 78 of the</w:t>
      </w:r>
      <w:r w:rsidR="00860798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Education Act 2002, which requires that all maintained schools provide a balanced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and broadly based curriculum that: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ZapfDingbats" w:eastAsia="ZapfDingbats" w:hAnsi="MyriadNC-SemiBold" w:cs="ZapfDingbats" w:hint="eastAsia"/>
          <w:sz w:val="28"/>
          <w:szCs w:val="28"/>
        </w:rPr>
        <w:t>■</w:t>
      </w:r>
      <w:r w:rsidRPr="00860798">
        <w:rPr>
          <w:rFonts w:ascii="ZapfDingbats" w:eastAsia="ZapfDingbats" w:hAnsi="MyriadNC-SemiBold" w:cs="ZapfDingbats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promotes the spiritual, moral, cultural, mental and physical development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of pupils at the school and of society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ZapfDingbats" w:eastAsia="ZapfDingbats" w:hAnsi="MyriadNC-SemiBold" w:cs="ZapfDingbats" w:hint="eastAsia"/>
          <w:sz w:val="28"/>
          <w:szCs w:val="28"/>
        </w:rPr>
        <w:t>■</w:t>
      </w:r>
      <w:r w:rsidRPr="00860798">
        <w:rPr>
          <w:rFonts w:ascii="ZapfDingbats" w:eastAsia="ZapfDingbats" w:hAnsi="MyriadNC-SemiBold" w:cs="ZapfDingbats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prepares pupils at the school for the opportunities, responsibilities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and experiences of adult life.</w:t>
      </w:r>
    </w:p>
    <w:p w:rsidR="00D31BA6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The Act requires the Secretary of State, local authorities and the governing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body and head</w:t>
      </w:r>
      <w:r w:rsid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teacher to take steps to achieve these requirements. The Secretary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of State meets his responsibilities in this area by providing a national framework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which incorporates the National Curriculum, religious education and other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statutory requirements. This framework is designed to enable all schools to respond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effectively to national and local priorities, to meet the individual learning needs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of all pupils and to develop a distinctive character and ethos rooted in their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local communities</w:t>
      </w:r>
    </w:p>
    <w:p w:rsidR="00860798" w:rsidRPr="00860798" w:rsidRDefault="00860798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SemiBold" w:hAnsi="MyriadNC-SemiBold" w:cs="MyriadNC-SemiBold"/>
          <w:b/>
          <w:bCs/>
          <w:i/>
          <w:sz w:val="23"/>
          <w:szCs w:val="23"/>
          <w:u w:val="single"/>
        </w:rPr>
      </w:pPr>
      <w:r w:rsidRPr="00860798">
        <w:rPr>
          <w:rFonts w:ascii="MyriadNC-SemiBold" w:hAnsi="MyriadNC-SemiBold" w:cs="MyriadNC-SemiBold"/>
          <w:b/>
          <w:bCs/>
          <w:i/>
          <w:sz w:val="23"/>
          <w:szCs w:val="23"/>
          <w:u w:val="single"/>
        </w:rPr>
        <w:t>The four main purposes of the National Curriculum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i/>
          <w:sz w:val="21"/>
          <w:szCs w:val="21"/>
          <w:u w:val="single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b/>
          <w:i/>
          <w:sz w:val="28"/>
          <w:szCs w:val="28"/>
          <w:u w:val="single"/>
        </w:rPr>
      </w:pPr>
      <w:r w:rsidRPr="00860798">
        <w:rPr>
          <w:rFonts w:ascii="MyriadNC-Regular" w:hAnsi="MyriadNC-Regular" w:cs="MyriadNC-Regular"/>
          <w:b/>
          <w:i/>
          <w:sz w:val="28"/>
          <w:szCs w:val="28"/>
          <w:u w:val="single"/>
        </w:rPr>
        <w:t>To establish an entitlement</w:t>
      </w:r>
    </w:p>
    <w:p w:rsidR="00764DBB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 w:rsidRPr="00860798">
        <w:rPr>
          <w:rFonts w:ascii="Minion-Regular" w:hAnsi="Minion-Regular" w:cs="Minion-Regular"/>
          <w:sz w:val="28"/>
          <w:szCs w:val="28"/>
        </w:rPr>
        <w:t>The National Curriculum secures for all pupils, irrespective of social background,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culture, race, gender, differences in ability and disabilities, an entitlement to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 number of areas of learning and to develop knowledge, understanding, skills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and attitudes necessary for their self-</w:t>
      </w:r>
      <w:proofErr w:type="spellStart"/>
      <w:r w:rsidRPr="00860798">
        <w:rPr>
          <w:rFonts w:ascii="Minion-Regular" w:hAnsi="Minion-Regular" w:cs="Minion-Regular"/>
          <w:sz w:val="28"/>
          <w:szCs w:val="28"/>
        </w:rPr>
        <w:t>fulfilment</w:t>
      </w:r>
      <w:proofErr w:type="spellEnd"/>
      <w:r w:rsidRPr="00860798">
        <w:rPr>
          <w:rFonts w:ascii="Minion-Regular" w:hAnsi="Minion-Regular" w:cs="Minion-Regular"/>
          <w:sz w:val="28"/>
          <w:szCs w:val="28"/>
        </w:rPr>
        <w:t xml:space="preserve"> and development as active and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responsible citizens</w:t>
      </w:r>
      <w:r>
        <w:rPr>
          <w:rFonts w:ascii="Minion-Regular" w:hAnsi="Minion-Regular" w:cs="Minion-Regular"/>
          <w:sz w:val="20"/>
          <w:szCs w:val="20"/>
        </w:rPr>
        <w:t>.</w:t>
      </w:r>
    </w:p>
    <w:p w:rsidR="00764DBB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sz w:val="21"/>
          <w:szCs w:val="21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b/>
          <w:i/>
          <w:sz w:val="28"/>
          <w:szCs w:val="28"/>
          <w:u w:val="single"/>
        </w:rPr>
      </w:pPr>
      <w:r w:rsidRPr="00860798">
        <w:rPr>
          <w:rFonts w:ascii="MyriadNC-Regular" w:hAnsi="MyriadNC-Regular" w:cs="MyriadNC-Regular"/>
          <w:b/>
          <w:i/>
          <w:sz w:val="28"/>
          <w:szCs w:val="28"/>
          <w:u w:val="single"/>
        </w:rPr>
        <w:t>To establish standards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lastRenderedPageBreak/>
        <w:t>The National Curriculum makes expectations for learning and attainment explicit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to pupils, parents, teachers, governors, employers and the public, and establishes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national standards for the performance of all pupils in the subjects it includes.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These standards can be used to set targets for improvement, measure progress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towards those targets, and monitor and compare performance between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individuals, groups and schools.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sz w:val="28"/>
          <w:szCs w:val="28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b/>
          <w:i/>
          <w:sz w:val="28"/>
          <w:szCs w:val="28"/>
          <w:u w:val="single"/>
        </w:rPr>
      </w:pPr>
      <w:r w:rsidRPr="00860798">
        <w:rPr>
          <w:rFonts w:ascii="MyriadNC-Regular" w:hAnsi="MyriadNC-Regular" w:cs="MyriadNC-Regular"/>
          <w:b/>
          <w:i/>
          <w:sz w:val="28"/>
          <w:szCs w:val="28"/>
          <w:u w:val="single"/>
        </w:rPr>
        <w:t>To promote continuity and coherence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The National Curriculum contributes to a coherent national framework that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promotes curriculum continuity and is sufficiently flexible to ensure progression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in pupils’ learning. It facilitates the transition of pupils between schools and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phases of education and provides a foundation for lifelong learning.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sz w:val="28"/>
          <w:szCs w:val="28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b/>
          <w:i/>
          <w:sz w:val="28"/>
          <w:szCs w:val="28"/>
          <w:u w:val="single"/>
        </w:rPr>
      </w:pPr>
      <w:r w:rsidRPr="00860798">
        <w:rPr>
          <w:rFonts w:ascii="MyriadNC-Regular" w:hAnsi="MyriadNC-Regular" w:cs="MyriadNC-Regular"/>
          <w:b/>
          <w:i/>
          <w:sz w:val="28"/>
          <w:szCs w:val="28"/>
          <w:u w:val="single"/>
        </w:rPr>
        <w:t>To promote public understanding</w:t>
      </w:r>
    </w:p>
    <w:p w:rsidR="00CA5A2D" w:rsidRPr="00860798" w:rsidRDefault="00764DBB" w:rsidP="00F97F0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The National Curriculum increases public understanding of, and confidence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in, the work of schools and in the learning and achievements resulting from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compulsory education. It provides a common basis for discussion of educational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issues among lay and professional groups, including pupils, parents, teachers,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governors and employers.</w:t>
      </w:r>
    </w:p>
    <w:p w:rsidR="00764DBB" w:rsidRPr="00860798" w:rsidRDefault="00764DBB" w:rsidP="00764DBB">
      <w:pPr>
        <w:rPr>
          <w:rFonts w:ascii="Minion-Regular" w:hAnsi="Minion-Regular" w:cs="Minion-Regular"/>
          <w:sz w:val="28"/>
          <w:szCs w:val="28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</w:pPr>
      <w:r w:rsidRPr="00860798"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  <w:t>Using level descriptions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sz w:val="28"/>
          <w:szCs w:val="28"/>
        </w:rPr>
      </w:pPr>
      <w:r w:rsidRPr="00860798">
        <w:rPr>
          <w:rFonts w:ascii="MyriadNC-Regular" w:hAnsi="MyriadNC-Regular" w:cs="MyriadNC-Regular"/>
          <w:sz w:val="28"/>
          <w:szCs w:val="28"/>
        </w:rPr>
        <w:t>Assessing attainment at the end of key stage 3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In deciding on a pupil’s level of attainment at the end of key stage 3, teachers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 xml:space="preserve">should judge which description best fits the pupil’s </w:t>
      </w:r>
      <w:r w:rsidR="00860798" w:rsidRPr="00860798">
        <w:rPr>
          <w:rFonts w:ascii="Minion-Regular" w:hAnsi="Minion-Regular" w:cs="Minion-Regular"/>
          <w:sz w:val="28"/>
          <w:szCs w:val="28"/>
        </w:rPr>
        <w:t>performance. When</w:t>
      </w:r>
      <w:r w:rsidRPr="00860798">
        <w:rPr>
          <w:rFonts w:ascii="Minion-Regular" w:hAnsi="Minion-Regular" w:cs="Minion-Regular"/>
          <w:sz w:val="28"/>
          <w:szCs w:val="28"/>
        </w:rPr>
        <w:t xml:space="preserve"> doing so,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each description should be considered alongside descriptions for adjacent levels.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Arrangements for statutory assessment at the end of key stage 3 are set out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in detail in QCA’s annual booklets about assessment and reporting arrangements.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The level descriptions are not designed to assess individual pieces of work. They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list aspects of attainment, based on the programmes of study, which teachers need to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assess to build up a picture of a pupil’s performance over time in a range of contexts.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sz w:val="28"/>
          <w:szCs w:val="28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b/>
          <w:i/>
          <w:sz w:val="28"/>
          <w:szCs w:val="28"/>
          <w:u w:val="single"/>
        </w:rPr>
      </w:pPr>
      <w:r w:rsidRPr="00860798">
        <w:rPr>
          <w:rFonts w:ascii="MyriadNC-Regular" w:hAnsi="MyriadNC-Regular" w:cs="MyriadNC-Regular"/>
          <w:b/>
          <w:i/>
          <w:sz w:val="28"/>
          <w:szCs w:val="28"/>
          <w:u w:val="single"/>
        </w:rPr>
        <w:t>Planning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Teachers’ planning for schemes of work should start from the programmes of study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 xml:space="preserve">and the needs and abilities of their pupils. Level descriptions can </w:t>
      </w:r>
      <w:r w:rsidRPr="00860798">
        <w:rPr>
          <w:rFonts w:ascii="Minion-Regular" w:hAnsi="Minion-Regular" w:cs="Minion-Regular"/>
          <w:sz w:val="28"/>
          <w:szCs w:val="28"/>
        </w:rPr>
        <w:lastRenderedPageBreak/>
        <w:t>help to determine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the degree of challenge and progression for work across each year of a key stage.</w:t>
      </w:r>
    </w:p>
    <w:p w:rsidR="00764DBB" w:rsidRPr="00860798" w:rsidRDefault="00764DBB" w:rsidP="00860798">
      <w:pPr>
        <w:autoSpaceDE w:val="0"/>
        <w:autoSpaceDN w:val="0"/>
        <w:adjustRightInd w:val="0"/>
        <w:spacing w:after="0" w:line="240" w:lineRule="auto"/>
        <w:ind w:firstLine="720"/>
        <w:rPr>
          <w:rFonts w:ascii="MyriadNC-Regular" w:hAnsi="MyriadNC-Regular" w:cs="MyriadNC-Regular"/>
          <w:b/>
          <w:i/>
          <w:sz w:val="21"/>
          <w:szCs w:val="21"/>
          <w:u w:val="single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sz w:val="28"/>
          <w:szCs w:val="28"/>
        </w:rPr>
      </w:pPr>
      <w:r w:rsidRPr="00860798">
        <w:rPr>
          <w:rFonts w:ascii="MyriadNC-Regular" w:hAnsi="MyriadNC-Regular" w:cs="MyriadNC-Regular"/>
          <w:b/>
          <w:i/>
          <w:sz w:val="28"/>
          <w:szCs w:val="28"/>
          <w:u w:val="single"/>
        </w:rPr>
        <w:t>Reporting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Teachers are required to report annually to parents on pupils’ progress. Although not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designed to be used at the end of each year across the key stage, the level descriptions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can be used as a basis to describe pupils’ progress.</w:t>
      </w: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sz w:val="28"/>
          <w:szCs w:val="28"/>
        </w:rPr>
      </w:pPr>
    </w:p>
    <w:p w:rsidR="00764DBB" w:rsidRPr="00860798" w:rsidRDefault="00764DBB" w:rsidP="00764DBB">
      <w:pPr>
        <w:autoSpaceDE w:val="0"/>
        <w:autoSpaceDN w:val="0"/>
        <w:adjustRightInd w:val="0"/>
        <w:spacing w:after="0" w:line="240" w:lineRule="auto"/>
        <w:rPr>
          <w:rFonts w:ascii="MyriadNC-Regular" w:hAnsi="MyriadNC-Regular" w:cs="MyriadNC-Regular"/>
          <w:b/>
          <w:i/>
          <w:sz w:val="28"/>
          <w:szCs w:val="28"/>
          <w:u w:val="single"/>
        </w:rPr>
      </w:pPr>
      <w:r w:rsidRPr="00860798">
        <w:rPr>
          <w:rFonts w:ascii="MyriadNC-Regular" w:hAnsi="MyriadNC-Regular" w:cs="MyriadNC-Regular"/>
          <w:b/>
          <w:i/>
          <w:sz w:val="28"/>
          <w:szCs w:val="28"/>
          <w:u w:val="single"/>
        </w:rPr>
        <w:t>Target setting</w:t>
      </w:r>
    </w:p>
    <w:p w:rsidR="00764DBB" w:rsidRPr="00860798" w:rsidRDefault="00764DBB" w:rsidP="00F97F0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To support target setting for pupils who achieve significantly below age-related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expectations, performance criteria have been developed in English and mathematics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leading to level 1 and within levels 1 and 2. In addition, performance criteria have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been developed for pupils’ personal and social development. These criteria were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 xml:space="preserve">published in </w:t>
      </w:r>
      <w:r w:rsidR="00860798" w:rsidRPr="00860798">
        <w:rPr>
          <w:rFonts w:ascii="Minion-Italic" w:hAnsi="Minion-Italic" w:cs="Minion-Italic"/>
          <w:i/>
          <w:iCs/>
          <w:sz w:val="28"/>
          <w:szCs w:val="28"/>
        </w:rPr>
        <w:t>supporting</w:t>
      </w:r>
      <w:r w:rsidRPr="00860798">
        <w:rPr>
          <w:rFonts w:ascii="Minion-Italic" w:hAnsi="Minion-Italic" w:cs="Minion-Italic"/>
          <w:i/>
          <w:iCs/>
          <w:sz w:val="28"/>
          <w:szCs w:val="28"/>
        </w:rPr>
        <w:t xml:space="preserve"> the target setting process </w:t>
      </w:r>
      <w:r w:rsidRPr="00860798">
        <w:rPr>
          <w:rFonts w:ascii="Minion-Regular" w:hAnsi="Minion-Regular" w:cs="Minion-Regular"/>
          <w:sz w:val="28"/>
          <w:szCs w:val="28"/>
        </w:rPr>
        <w:t>(DfES/QCA 1998).</w:t>
      </w:r>
    </w:p>
    <w:p w:rsidR="00D31BA6" w:rsidRPr="00860798" w:rsidRDefault="00D31BA6" w:rsidP="00764DBB">
      <w:pPr>
        <w:rPr>
          <w:rFonts w:ascii="Minion-Regular" w:hAnsi="Minion-Regular" w:cs="Minion-Regular"/>
          <w:sz w:val="28"/>
          <w:szCs w:val="28"/>
        </w:rPr>
      </w:pP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</w:pPr>
      <w:r w:rsidRPr="00860798"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  <w:t>Learning across the National Curriculum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</w:pPr>
      <w:r w:rsidRPr="00860798"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  <w:t>Promoting spiritual, moral, social and cultural development</w:t>
      </w:r>
      <w:r w:rsidR="00F97F01" w:rsidRPr="00860798"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  <w:t xml:space="preserve"> </w:t>
      </w:r>
      <w:r w:rsidRPr="00860798">
        <w:rPr>
          <w:rFonts w:ascii="MyriadNC-SemiBold" w:hAnsi="MyriadNC-SemiBold" w:cs="MyriadNC-SemiBold"/>
          <w:b/>
          <w:bCs/>
          <w:i/>
          <w:sz w:val="28"/>
          <w:szCs w:val="28"/>
          <w:u w:val="single"/>
        </w:rPr>
        <w:t>across the National Curriculum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t>All National Curriculum subjects provide opportunities to promote pupils’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spiritual, moral, social and cultural development. Explicit opportunities to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promote pupils’ development in these areas are provided in religious education,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citizenship and the non-statutory framework for personal, social and health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education</w:t>
      </w:r>
      <w:r w:rsidRPr="00860798">
        <w:rPr>
          <w:rFonts w:ascii="MyriadNC-Regular" w:hAnsi="MyriadNC-Regular" w:cs="MyriadNC-Regular"/>
          <w:sz w:val="28"/>
          <w:szCs w:val="28"/>
        </w:rPr>
        <w:t xml:space="preserve">8 </w:t>
      </w:r>
      <w:r w:rsidRPr="00860798">
        <w:rPr>
          <w:rFonts w:ascii="Minion-Regular" w:hAnsi="Minion-Regular" w:cs="Minion-Regular"/>
          <w:sz w:val="28"/>
          <w:szCs w:val="28"/>
        </w:rPr>
        <w:t>(PSHE) at key stages 3 and 4. A significant contribution is also made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by school ethos, effective relationships throughout the school, collective worship,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and other curriculum activities.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ZapfDingbats" w:eastAsia="ZapfDingbats" w:hAnsi="MyriadNC-SemiBold" w:cs="ZapfDingbats" w:hint="eastAsia"/>
          <w:sz w:val="28"/>
          <w:szCs w:val="28"/>
        </w:rPr>
        <w:t>■</w:t>
      </w:r>
      <w:r w:rsidRPr="00860798">
        <w:rPr>
          <w:rFonts w:ascii="ZapfDingbats" w:eastAsia="ZapfDingbats" w:hAnsi="MyriadNC-SemiBold" w:cs="ZapfDingbats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 xml:space="preserve">Pupils’ </w:t>
      </w:r>
      <w:r w:rsidRPr="00860798">
        <w:rPr>
          <w:rFonts w:ascii="Minion-Italic" w:hAnsi="Minion-Italic" w:cs="Minion-Italic"/>
          <w:i/>
          <w:iCs/>
          <w:sz w:val="28"/>
          <w:szCs w:val="28"/>
        </w:rPr>
        <w:t xml:space="preserve">spiritual development </w:t>
      </w:r>
      <w:r w:rsidRPr="00860798">
        <w:rPr>
          <w:rFonts w:ascii="Minion-Regular" w:hAnsi="Minion-Regular" w:cs="Minion-Regular"/>
          <w:sz w:val="28"/>
          <w:szCs w:val="28"/>
        </w:rPr>
        <w:t>involves the growth of their sense of self, their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unique potential, their understanding of their strengths and weaknesses, and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their will to achieve. As their curiosity about themselves and their place in the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world increases, they try to answer for themselves some of life’s fundamental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questions. They develop the knowledge, skills, understanding, qualities and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attitudes they need to foster their own inner lives and non-material well-being.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ZapfDingbats" w:eastAsia="ZapfDingbats" w:hAnsi="MyriadNC-SemiBold" w:cs="ZapfDingbats" w:hint="eastAsia"/>
          <w:sz w:val="28"/>
          <w:szCs w:val="28"/>
        </w:rPr>
        <w:t>■</w:t>
      </w:r>
      <w:r w:rsidRPr="00860798">
        <w:rPr>
          <w:rFonts w:ascii="ZapfDingbats" w:eastAsia="ZapfDingbats" w:hAnsi="MyriadNC-SemiBold" w:cs="ZapfDingbats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 xml:space="preserve">Pupils’ </w:t>
      </w:r>
      <w:r w:rsidRPr="00860798">
        <w:rPr>
          <w:rFonts w:ascii="Minion-Italic" w:hAnsi="Minion-Italic" w:cs="Minion-Italic"/>
          <w:i/>
          <w:iCs/>
          <w:sz w:val="28"/>
          <w:szCs w:val="28"/>
        </w:rPr>
        <w:t xml:space="preserve">moral development </w:t>
      </w:r>
      <w:r w:rsidRPr="00860798">
        <w:rPr>
          <w:rFonts w:ascii="Minion-Regular" w:hAnsi="Minion-Regular" w:cs="Minion-Regular"/>
          <w:sz w:val="28"/>
          <w:szCs w:val="28"/>
        </w:rPr>
        <w:t>involves pupils acquiring an understanding of the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difference between right and wrong and of moral conflict, a concern for others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and the will to do what is right. They are able and willing to reflect on the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consequences of their actions and learn how to forgive themselves and others.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Minion-Regular" w:hAnsi="Minion-Regular" w:cs="Minion-Regular"/>
          <w:sz w:val="28"/>
          <w:szCs w:val="28"/>
        </w:rPr>
        <w:lastRenderedPageBreak/>
        <w:t>They develop the knowledge, skills, understanding, qualities and attitudes they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need in order to make responsible moral decisions and to act on them.</w:t>
      </w:r>
    </w:p>
    <w:p w:rsidR="00D31BA6" w:rsidRPr="00860798" w:rsidRDefault="00D31BA6" w:rsidP="00D31BA6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ZapfDingbats" w:eastAsia="ZapfDingbats" w:hAnsi="MyriadNC-SemiBold" w:cs="ZapfDingbats" w:hint="eastAsia"/>
          <w:sz w:val="28"/>
          <w:szCs w:val="28"/>
        </w:rPr>
        <w:t>■</w:t>
      </w:r>
      <w:r w:rsidRPr="00860798">
        <w:rPr>
          <w:rFonts w:ascii="ZapfDingbats" w:eastAsia="ZapfDingbats" w:hAnsi="MyriadNC-SemiBold" w:cs="ZapfDingbats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 xml:space="preserve">Pupils’ </w:t>
      </w:r>
      <w:r w:rsidRPr="00860798">
        <w:rPr>
          <w:rFonts w:ascii="Minion-Italic" w:hAnsi="Minion-Italic" w:cs="Minion-Italic"/>
          <w:i/>
          <w:iCs/>
          <w:sz w:val="28"/>
          <w:szCs w:val="28"/>
        </w:rPr>
        <w:t xml:space="preserve">social development </w:t>
      </w:r>
      <w:r w:rsidRPr="00860798">
        <w:rPr>
          <w:rFonts w:ascii="Minion-Regular" w:hAnsi="Minion-Regular" w:cs="Minion-Regular"/>
          <w:sz w:val="28"/>
          <w:szCs w:val="28"/>
        </w:rPr>
        <w:t>involves pupils acquiring an understanding of the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responsibilities and rights of being members of families and communities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(local, national and global), and an ability to relate to others and to work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with others for the common good. They display a sense of belonging and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an increasing willingness to participate. They develop the knowledge, skills,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understanding, qualities and attitudes they need to make an active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contribution to the democratic process in each of their communities.</w:t>
      </w:r>
    </w:p>
    <w:p w:rsidR="00D31BA6" w:rsidRPr="00860798" w:rsidRDefault="00D31BA6" w:rsidP="00F97F01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8"/>
          <w:szCs w:val="28"/>
        </w:rPr>
      </w:pPr>
      <w:r w:rsidRPr="00860798">
        <w:rPr>
          <w:rFonts w:ascii="ZapfDingbats" w:eastAsia="ZapfDingbats" w:hAnsi="MyriadNC-SemiBold" w:cs="ZapfDingbats" w:hint="eastAsia"/>
          <w:sz w:val="28"/>
          <w:szCs w:val="28"/>
        </w:rPr>
        <w:t>■</w:t>
      </w:r>
      <w:r w:rsidRPr="00860798">
        <w:rPr>
          <w:rFonts w:ascii="ZapfDingbats" w:eastAsia="ZapfDingbats" w:hAnsi="MyriadNC-SemiBold" w:cs="ZapfDingbats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 xml:space="preserve">Pupils’ </w:t>
      </w:r>
      <w:r w:rsidRPr="00860798">
        <w:rPr>
          <w:rFonts w:ascii="Minion-Italic" w:hAnsi="Minion-Italic" w:cs="Minion-Italic"/>
          <w:i/>
          <w:iCs/>
          <w:sz w:val="28"/>
          <w:szCs w:val="28"/>
        </w:rPr>
        <w:t xml:space="preserve">cultural development </w:t>
      </w:r>
      <w:r w:rsidRPr="00860798">
        <w:rPr>
          <w:rFonts w:ascii="Minion-Regular" w:hAnsi="Minion-Regular" w:cs="Minion-Regular"/>
          <w:sz w:val="28"/>
          <w:szCs w:val="28"/>
        </w:rPr>
        <w:t>involves pupils acquiring an understanding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of cultural traditions and </w:t>
      </w:r>
      <w:r w:rsidR="00860798" w:rsidRPr="00860798">
        <w:rPr>
          <w:rFonts w:ascii="Minion-Regular" w:hAnsi="Minion-Regular" w:cs="Minion-Regular"/>
          <w:sz w:val="28"/>
          <w:szCs w:val="28"/>
        </w:rPr>
        <w:t>ability</w:t>
      </w:r>
      <w:r w:rsidRPr="00860798">
        <w:rPr>
          <w:rFonts w:ascii="Minion-Regular" w:hAnsi="Minion-Regular" w:cs="Minion-Regular"/>
          <w:sz w:val="28"/>
          <w:szCs w:val="28"/>
        </w:rPr>
        <w:t xml:space="preserve"> to appreciate and respond to a variety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of aesthetic experiences. They acquire a respect for their own culture and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that of others, an interest in others’ ways of doing things and curiosity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about differences. They develop the knowledge, skills, understanding, qualities</w:t>
      </w:r>
      <w:r w:rsidR="00F97F01" w:rsidRPr="00860798">
        <w:rPr>
          <w:rFonts w:ascii="Minion-Regular" w:hAnsi="Minion-Regular" w:cs="Minion-Regular"/>
          <w:sz w:val="28"/>
          <w:szCs w:val="28"/>
        </w:rPr>
        <w:t xml:space="preserve"> </w:t>
      </w:r>
      <w:r w:rsidRPr="00860798">
        <w:rPr>
          <w:rFonts w:ascii="Minion-Regular" w:hAnsi="Minion-Regular" w:cs="Minion-Regular"/>
          <w:sz w:val="28"/>
          <w:szCs w:val="28"/>
        </w:rPr>
        <w:t>and attitudes they need to understand, appreciate and contribute to culture.</w:t>
      </w:r>
    </w:p>
    <w:sectPr w:rsidR="00D31BA6" w:rsidRPr="00860798" w:rsidSect="00CA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N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N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DDB"/>
    <w:multiLevelType w:val="hybridMultilevel"/>
    <w:tmpl w:val="6D3E8034"/>
    <w:lvl w:ilvl="0" w:tplc="CD502EC4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DBB"/>
    <w:rsid w:val="006A759E"/>
    <w:rsid w:val="00764DBB"/>
    <w:rsid w:val="00860798"/>
    <w:rsid w:val="00963A89"/>
    <w:rsid w:val="00C15509"/>
    <w:rsid w:val="00CA5A2D"/>
    <w:rsid w:val="00D31BA6"/>
    <w:rsid w:val="00EE5D15"/>
    <w:rsid w:val="00F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2013-12-05T15:05:00Z</dcterms:created>
  <dcterms:modified xsi:type="dcterms:W3CDTF">2013-12-08T05:13:00Z</dcterms:modified>
</cp:coreProperties>
</file>